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关于雪花牛育肥基地精料补充料（育肥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中期）询价采购的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9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23"/>
        <w:gridCol w:w="169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原料名称</w:t>
            </w:r>
          </w:p>
        </w:tc>
        <w:tc>
          <w:tcPr>
            <w:tcW w:w="2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hAnsi="宋体"/>
                <w:color w:val="auto"/>
                <w:lang w:val="en-US" w:eastAsia="zh-CN" w:bidi="ar"/>
              </w:rPr>
              <w:t>原料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单价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每吨精料中原料重量（kg）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脱酚棉籽蛋白（60%）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豆粕（≥43%）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麸皮（小麦麸）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玉米DDGS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菜粕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碳酸钙（石粉）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氯化钠（饲料用）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氯化钾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肉牛育肥预混料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防霉剂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菲普鲜灵FX216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合计（kg）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成本（元/吨）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损耗（5‰）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包装（元/吨）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加工费（元/吨）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运费（元/吨）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开票税率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不含税报价（元/吨）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吨不含税报价（元）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含税报价（元/吨）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吨含税报价（元）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报价有效期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付款方式、账期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联系人、联系电话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CF75C5"/>
    <w:rsid w:val="07222102"/>
    <w:rsid w:val="07BE749C"/>
    <w:rsid w:val="096A60FD"/>
    <w:rsid w:val="0C6C74BD"/>
    <w:rsid w:val="0CEC11E8"/>
    <w:rsid w:val="0FFA00C0"/>
    <w:rsid w:val="14956609"/>
    <w:rsid w:val="17E35BAB"/>
    <w:rsid w:val="186677D2"/>
    <w:rsid w:val="1CE27F12"/>
    <w:rsid w:val="1D5E5562"/>
    <w:rsid w:val="25A91DDC"/>
    <w:rsid w:val="2A9C3C34"/>
    <w:rsid w:val="3A7461F5"/>
    <w:rsid w:val="3C3A6FCB"/>
    <w:rsid w:val="3D281519"/>
    <w:rsid w:val="438B0CBA"/>
    <w:rsid w:val="48DD3AFF"/>
    <w:rsid w:val="49AD2FD5"/>
    <w:rsid w:val="4AEE39BE"/>
    <w:rsid w:val="4BC114B6"/>
    <w:rsid w:val="506863A4"/>
    <w:rsid w:val="512A47D3"/>
    <w:rsid w:val="524A3FB4"/>
    <w:rsid w:val="5D922B81"/>
    <w:rsid w:val="5FEB54F8"/>
    <w:rsid w:val="604A50AC"/>
    <w:rsid w:val="60E4203B"/>
    <w:rsid w:val="62CA6A4B"/>
    <w:rsid w:val="68D15D57"/>
    <w:rsid w:val="698F4F84"/>
    <w:rsid w:val="6CB542C8"/>
    <w:rsid w:val="70476728"/>
    <w:rsid w:val="76F2311C"/>
    <w:rsid w:val="79E2565A"/>
    <w:rsid w:val="7D9F663D"/>
    <w:rsid w:val="7DF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2024-03-19T07:43:54Z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DD132A42FC0A4EA88BF6C8989CA1E4F6_12</vt:lpwstr>
  </property>
</Properties>
</file>