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关于雪花牛育肥基地精料补充料（育肥中期）询价采购的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pPr w:leftFromText="180" w:rightFromText="180" w:vertAnchor="text" w:horzAnchor="page" w:tblpX="1519" w:tblpY="228"/>
        <w:tblOverlap w:val="never"/>
        <w:tblW w:w="84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305"/>
        <w:gridCol w:w="1095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原料名称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粗蛋白含量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精料补充料（育肥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粗蛋白含量（%）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脱酚棉籽蛋白（60%）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豆粕（≥43%）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麸皮（小麦麸）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玉米DDGS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菜粕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碳酸钙（石粉）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氯化钠（饲料用）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氯化钾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肉牛育肥预混料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防霉剂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菲普鲜灵FX216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合计（kg）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损耗（5‰）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28吨不含税报价（元）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28吨含税报价（元）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先货后款。验收合格后，收到正规足额发票之日起7个工作日内以银行转账的方式一次性付款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6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3CF75C5"/>
    <w:rsid w:val="0C6C74BD"/>
    <w:rsid w:val="0CEC11E8"/>
    <w:rsid w:val="0FFA00C0"/>
    <w:rsid w:val="14956609"/>
    <w:rsid w:val="17E35BAB"/>
    <w:rsid w:val="186677D2"/>
    <w:rsid w:val="1CE27F12"/>
    <w:rsid w:val="25A91DDC"/>
    <w:rsid w:val="2A9C3C34"/>
    <w:rsid w:val="3A7461F5"/>
    <w:rsid w:val="3C3A6FCB"/>
    <w:rsid w:val="3D281519"/>
    <w:rsid w:val="438B0CBA"/>
    <w:rsid w:val="48DD3AFF"/>
    <w:rsid w:val="49AD2FD5"/>
    <w:rsid w:val="4BC114B6"/>
    <w:rsid w:val="506863A4"/>
    <w:rsid w:val="512A47D3"/>
    <w:rsid w:val="524A3FB4"/>
    <w:rsid w:val="5FEB54F8"/>
    <w:rsid w:val="604A50AC"/>
    <w:rsid w:val="60E4203B"/>
    <w:rsid w:val="68D15D57"/>
    <w:rsid w:val="6CB542C8"/>
    <w:rsid w:val="76F2311C"/>
    <w:rsid w:val="79E2565A"/>
    <w:rsid w:val="7D9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2024-01-18T09:42:28Z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DD132A42FC0A4EA88BF6C8989CA1E4F6_12</vt:lpwstr>
  </property>
</Properties>
</file>