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附件一：</w:t>
      </w:r>
    </w:p>
    <w:p>
      <w:pPr>
        <w:widowControl w:val="0"/>
        <w:tabs>
          <w:tab w:val="left" w:pos="0"/>
        </w:tabs>
        <w:kinsoku/>
        <w:autoSpaceDE/>
        <w:autoSpaceDN/>
        <w:adjustRightInd/>
        <w:snapToGrid/>
        <w:spacing w:line="520" w:lineRule="exact"/>
        <w:jc w:val="center"/>
        <w:textAlignment w:val="auto"/>
        <w:rPr>
          <w:rFonts w:hint="default" w:ascii="仿宋_GB2312" w:hAnsi="仿宋_GB2312" w:eastAsia="仿宋_GB2312" w:cs="仿宋_GB2312"/>
          <w:bCs/>
          <w:snapToGrid/>
          <w:kern w:val="2"/>
          <w:sz w:val="24"/>
          <w:szCs w:val="24"/>
          <w:lang w:val="en-US" w:eastAsia="zh-CN" w:bidi="ar-SA"/>
        </w:rPr>
      </w:pPr>
      <w:r>
        <w:rPr>
          <w:rFonts w:hint="eastAsia" w:ascii="方正小标宋简体" w:hAnsi="仿宋" w:eastAsia="方正小标宋简体" w:cs="Times New Roman"/>
          <w:b/>
          <w:snapToGrid/>
          <w:w w:val="80"/>
          <w:kern w:val="2"/>
          <w:sz w:val="24"/>
          <w:szCs w:val="24"/>
          <w:lang w:val="en-US" w:eastAsia="zh-CN" w:bidi="ar-SA"/>
        </w:rPr>
        <w:t>新能源电动汽车充电桩设备采购项目报价表（样表）</w:t>
      </w:r>
    </w:p>
    <w:tbl>
      <w:tblPr>
        <w:tblStyle w:val="2"/>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81"/>
        <w:gridCol w:w="688"/>
        <w:gridCol w:w="396"/>
        <w:gridCol w:w="1533"/>
        <w:gridCol w:w="1567"/>
        <w:gridCol w:w="361"/>
        <w:gridCol w:w="125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序号</w:t>
            </w: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　　　目</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内容（标准）</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设备制造厂商</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设备安装单位</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供应设备数量</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详见项目清单</w:t>
            </w: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设备的设计、制造等及相关服务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其中税率为：13%</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含装卸、运输、安装、接电、调试、试运行、验收等及相关服务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其中税率为：9%</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合计金额（元人民币）</w:t>
            </w: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最快完工日期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交货地点</w:t>
            </w:r>
          </w:p>
        </w:tc>
        <w:tc>
          <w:tcPr>
            <w:tcW w:w="3857" w:type="dxa"/>
            <w:gridSpan w:val="4"/>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广西宜信投资有限责任公司</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质保期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年</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付款方式</w:t>
            </w:r>
          </w:p>
        </w:tc>
        <w:tc>
          <w:tcPr>
            <w:tcW w:w="3857" w:type="dxa"/>
            <w:gridSpan w:val="4"/>
            <w:vAlign w:val="center"/>
          </w:tcPr>
          <w:p>
            <w:pPr>
              <w:widowControl w:val="0"/>
              <w:kinsoku/>
              <w:autoSpaceDE/>
              <w:autoSpaceDN/>
              <w:adjustRightInd/>
              <w:snapToGrid/>
              <w:spacing w:line="360" w:lineRule="exact"/>
              <w:jc w:val="both"/>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到货,完成安装并验收合格后付95%，余款在质保期满，并无质量问题情况下，一次性付清。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是否偏离需方技术规格要求</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没有偏离请用“/”填写，如有偏离，请予说明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restart"/>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设备清单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continue"/>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充电终端</w:t>
            </w:r>
          </w:p>
        </w:tc>
        <w:tc>
          <w:tcPr>
            <w:tcW w:w="1084" w:type="dxa"/>
            <w:gridSpan w:val="2"/>
            <w:vAlign w:val="center"/>
          </w:tcPr>
          <w:p>
            <w:pPr>
              <w:widowControl w:val="0"/>
              <w:kinsoku/>
              <w:autoSpaceDE/>
              <w:autoSpaceDN/>
              <w:adjustRightInd/>
              <w:snapToGrid/>
              <w:spacing w:line="240" w:lineRule="auto"/>
              <w:jc w:val="center"/>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25枪</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15枪交流，10枪直流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云服务</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1套</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电缆YJV22-0.6/1KV-1 4×70+1×35mm2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电缆YJV-0.6/1KV-3×16mm2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充电桩主要参数及型号规格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产品尺寸</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重量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安装方式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材质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输入模式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工作频率</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输出电流</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防护等级</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施工清单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管沟开挖、回填、恢复原状：大理石或街砖地面下的敷设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电缆要求埋深大于等于0.7米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砼路面下的敷设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普通土地面下的敷设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电缆接头</w:t>
            </w:r>
          </w:p>
        </w:tc>
        <w:tc>
          <w:tcPr>
            <w:tcW w:w="1084" w:type="dxa"/>
            <w:gridSpan w:val="2"/>
            <w:vAlign w:val="center"/>
          </w:tcPr>
          <w:p>
            <w:pPr>
              <w:widowControl w:val="0"/>
              <w:kinsoku/>
              <w:autoSpaceDE/>
              <w:autoSpaceDN/>
              <w:adjustRightInd/>
              <w:snapToGrid/>
              <w:spacing w:line="240" w:lineRule="auto"/>
              <w:ind w:firstLine="360" w:firstLineChars="15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通电调试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单桩基础制作（含土方开挖、弃置、回填等工序）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车位旁落地配电箱及基础</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配电房壁挂配电箱</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钢管定位车阻器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设备材料运输</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余土外运及处理</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bl>
    <w:p>
      <w:pPr>
        <w:widowControl w:val="0"/>
        <w:kinsoku/>
        <w:autoSpaceDE/>
        <w:autoSpaceDN/>
        <w:adjustRightInd/>
        <w:snapToGrid/>
        <w:spacing w:line="480" w:lineRule="exact"/>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说明：</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1、上表所列主要配件清单，仅供报价方参考，所列项目并非设备的全部内容，报价方应根据现场、图纸及招标要求完善并补全清单中未列出的配件，并组成一个完整的系统。表中所列配件的品牌是对设备性能的描述，不作为此次的硬性要求，报价方应根据技术规格书中的要求进行配件品牌及规格的选型，但所投报的设备性能应等于或高于原设备性能。</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2、本报价书格式中的已填写项目是需方提出的要求。报价方不能满足或高于该要求标准以及采用了某项标准在本报价邀请文件中没有规定的均在报价表中加以说明，以上报价均含各种税、保杂费。本报价书格式中的空格由报价方根据需方要求及相关标准合理配置填写。</w:t>
      </w:r>
    </w:p>
    <w:p>
      <w:pPr>
        <w:widowControl w:val="0"/>
        <w:kinsoku/>
        <w:autoSpaceDE/>
        <w:autoSpaceDN/>
        <w:adjustRightInd/>
        <w:snapToGrid/>
        <w:spacing w:line="480" w:lineRule="exact"/>
        <w:ind w:firstLine="480" w:firstLineChars="200"/>
        <w:jc w:val="both"/>
        <w:textAlignment w:val="auto"/>
        <w:rPr>
          <w:rFonts w:ascii="宋体" w:hAnsi="宋体" w:eastAsia="宋体" w:cs="Times New Roman"/>
          <w:b/>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3、报价文件（报价书）应严格按需方要求的报价书格式逐项填写，不留空格。无此项内容请用“/” 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default" w:ascii="仿宋" w:hAnsi="仿宋" w:eastAsia="仿宋" w:cs="仿宋"/>
          <w:spacing w:val="-4"/>
          <w:sz w:val="32"/>
          <w:szCs w:val="32"/>
          <w:lang w:val="en-US" w:eastAsia="zh-CN"/>
        </w:rPr>
      </w:pPr>
    </w:p>
    <w:p/>
    <w:sectPr>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98E35"/>
    <w:multiLevelType w:val="singleLevel"/>
    <w:tmpl w:val="EEC98E3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zAyYzc1MDI1MzVhODE4YzljZjlmZmJkYWYxYjMifQ=="/>
    <w:docVar w:name="KSO_WPS_MARK_KEY" w:val="bf34f3cc-d734-4f09-8df8-2db8cd40f01a"/>
  </w:docVars>
  <w:rsids>
    <w:rsidRoot w:val="68707EA9"/>
    <w:rsid w:val="178F124C"/>
    <w:rsid w:val="35554B55"/>
    <w:rsid w:val="6870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1051</Words>
  <Characters>1205</Characters>
  <Lines>0</Lines>
  <Paragraphs>0</Paragraphs>
  <TotalTime>0</TotalTime>
  <ScaleCrop>false</ScaleCrop>
  <LinksUpToDate>false</LinksUpToDate>
  <CharactersWithSpaces>1375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2022-09-05T07:18:00Z</dcterms:created>
  <dc:creator>Aha</dc:creator>
  <cp:lastModifiedBy>Aha</cp:lastModifiedBy>
  <dcterms:modified xsi:type="dcterms:W3CDTF">2023-09-21T09:06:17Z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F45F7CA0DD1E44658F218370CCB33E1E</vt:lpwstr>
  </property>
</Properties>
</file>