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pacing w:val="-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附件：</w:t>
      </w:r>
    </w:p>
    <w:p>
      <w:pPr>
        <w:widowControl w:val="0"/>
        <w:tabs>
          <w:tab w:val="left" w:pos="0"/>
        </w:tabs>
        <w:kinsoku/>
        <w:autoSpaceDE/>
        <w:autoSpaceDN/>
        <w:adjustRightInd/>
        <w:snapToGrid/>
        <w:spacing w:line="520" w:lineRule="exact"/>
        <w:jc w:val="center"/>
        <w:textAlignment w:val="auto"/>
        <w:rPr>
          <w:rFonts w:hint="default" w:ascii="仿宋_GB2312" w:hAnsi="仿宋_GB2312" w:eastAsia="仿宋_GB2312" w:cs="仿宋_GB2312"/>
          <w:bCs/>
          <w:snapToGrid/>
          <w:kern w:val="2"/>
          <w:sz w:val="44"/>
          <w:szCs w:val="44"/>
          <w:lang w:val="en-US" w:eastAsia="zh-CN" w:bidi="ar-SA"/>
        </w:rPr>
      </w:pPr>
      <w:r>
        <w:rPr>
          <w:rFonts w:hint="eastAsia" w:ascii="方正小标宋简体" w:hAnsi="仿宋" w:eastAsia="方正小标宋简体" w:cs="Times New Roman"/>
          <w:b/>
          <w:snapToGrid/>
          <w:w w:val="80"/>
          <w:kern w:val="2"/>
          <w:sz w:val="44"/>
          <w:szCs w:val="44"/>
          <w:lang w:val="en-US" w:eastAsia="zh-CN" w:bidi="ar-SA"/>
        </w:rPr>
        <w:t>新能源电动汽车充电桩设备采购项目报价表（样表）</w:t>
      </w:r>
      <w:bookmarkStart w:id="0" w:name="_GoBack"/>
      <w:bookmarkEnd w:id="0"/>
    </w:p>
    <w:tbl>
      <w:tblPr>
        <w:tblStyle w:val="2"/>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81"/>
        <w:gridCol w:w="688"/>
        <w:gridCol w:w="396"/>
        <w:gridCol w:w="1533"/>
        <w:gridCol w:w="1567"/>
        <w:gridCol w:w="361"/>
        <w:gridCol w:w="125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序号</w:t>
            </w: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　　　目</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内容（标准）</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设备制造厂商</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设备安装单位</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供应设备数量</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详见项目清单</w:t>
            </w: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设备的设计、制造等及相关服务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其中税率为：13%</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含装卸、运输、安装、接电、调试、试运行、验收等及相关服务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其中税率为：9%</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合计金额（元人民币）</w:t>
            </w: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最快完工日期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交货地点</w:t>
            </w:r>
          </w:p>
        </w:tc>
        <w:tc>
          <w:tcPr>
            <w:tcW w:w="3857" w:type="dxa"/>
            <w:gridSpan w:val="4"/>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广西宜信投资有限责任公司</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质保期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年</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付款方式</w:t>
            </w:r>
          </w:p>
        </w:tc>
        <w:tc>
          <w:tcPr>
            <w:tcW w:w="3857" w:type="dxa"/>
            <w:gridSpan w:val="4"/>
            <w:vAlign w:val="center"/>
          </w:tcPr>
          <w:p>
            <w:pPr>
              <w:widowControl w:val="0"/>
              <w:kinsoku/>
              <w:autoSpaceDE/>
              <w:autoSpaceDN/>
              <w:adjustRightInd/>
              <w:snapToGrid/>
              <w:spacing w:line="360" w:lineRule="exact"/>
              <w:jc w:val="both"/>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到货,完成安装并验收合格后付95%，余款在质保期满，并无质量问题情况下，一次性付清。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是否偏离需方技术规格要求</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没有偏离请用“/”填写，如有偏离，请予说明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restart"/>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设备清单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continue"/>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充电终端</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20台</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7KW/14KW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云服务</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1套</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电缆YJV22-0.6/1KV-1 4×70+1×35mm2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电缆YJV-0.6/1KV-3×16mm2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充电桩主要参数及型号规格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产品尺寸</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重量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安装方式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材质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输入模式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工作频率</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输出电流</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防护等级</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施工清单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管沟开挖、回填、恢复原状：大理石或街砖地面下的敷设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电缆要求埋深大于等于0.7米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砼路面下的敷设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普通土地面下的敷设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电缆接头</w:t>
            </w:r>
          </w:p>
        </w:tc>
        <w:tc>
          <w:tcPr>
            <w:tcW w:w="1084" w:type="dxa"/>
            <w:gridSpan w:val="2"/>
            <w:vAlign w:val="center"/>
          </w:tcPr>
          <w:p>
            <w:pPr>
              <w:widowControl w:val="0"/>
              <w:kinsoku/>
              <w:autoSpaceDE/>
              <w:autoSpaceDN/>
              <w:adjustRightInd/>
              <w:snapToGrid/>
              <w:spacing w:line="240" w:lineRule="auto"/>
              <w:ind w:firstLine="360" w:firstLineChars="15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通电调试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单桩基础制作（含土方开挖、弃置、回填等工序）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车位旁落地配电箱及基础</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配电房壁挂配电箱</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钢管定位车阻器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设备材料运输</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余土外运及处理</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bl>
    <w:p>
      <w:pPr>
        <w:widowControl w:val="0"/>
        <w:kinsoku/>
        <w:autoSpaceDE/>
        <w:autoSpaceDN/>
        <w:adjustRightInd/>
        <w:snapToGrid/>
        <w:spacing w:line="480" w:lineRule="exact"/>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说明：</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1、上表所列主要配件清单，仅供报价方参考，所列项目并非设备的全部内容，报价方应根据现场、图纸及招标要求完善并补全清单中未列出的配件，并组成一个完整的系统。表中所列配件的品牌是对设备性能的描述，不作为此次的硬性要求，报价方应根据技术规格书中的要求进行配件品牌及规格的选型，但所投报的设备性能应等于或高于原设备性能。</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2、本报价书格式中的已填写项目是需方提出的要求。报价方不能满足或高于该要求标准以及采用了某项标准在本报价邀请文件中没有规定的均在报价表中加以说明，以上报价均含各种税、保杂费。本报价书格式中的空格由报价方根据需方要求及相关标准合理配置填写。</w:t>
      </w:r>
    </w:p>
    <w:p>
      <w:pPr>
        <w:widowControl w:val="0"/>
        <w:kinsoku/>
        <w:autoSpaceDE/>
        <w:autoSpaceDN/>
        <w:adjustRightInd/>
        <w:snapToGrid/>
        <w:spacing w:line="480" w:lineRule="exact"/>
        <w:ind w:firstLine="480" w:firstLineChars="200"/>
        <w:jc w:val="both"/>
        <w:textAlignment w:val="auto"/>
        <w:rPr>
          <w:rFonts w:ascii="宋体" w:hAnsi="宋体" w:eastAsia="宋体" w:cs="Times New Roman"/>
          <w:b/>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3、报价文件（报价书）应严格按需方要求的报价书格式逐项填写，不留空格。无此项内容请用“/” 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default" w:ascii="仿宋" w:hAnsi="仿宋" w:eastAsia="仿宋" w:cs="仿宋"/>
          <w:spacing w:val="-4"/>
          <w:sz w:val="32"/>
          <w:szCs w:val="32"/>
          <w:lang w:val="en-US" w:eastAsia="zh-CN"/>
        </w:rPr>
      </w:pPr>
    </w:p>
    <w:sectPr>
      <w:footerReference r:id="rId5"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98E35"/>
    <w:multiLevelType w:val="singleLevel"/>
    <w:tmpl w:val="EEC98E3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Q4MTM0YmEwMmI4MGIwNWZmNTVlNzE5NmU0ZjRiODQifQ=="/>
  </w:docVars>
  <w:rsids>
    <w:rsidRoot w:val="00000000"/>
    <w:rsid w:val="00FA2AF4"/>
    <w:rsid w:val="07842F6B"/>
    <w:rsid w:val="11D83B16"/>
    <w:rsid w:val="21156B08"/>
    <w:rsid w:val="26713A11"/>
    <w:rsid w:val="2B6111BC"/>
    <w:rsid w:val="2CB72491"/>
    <w:rsid w:val="2F194D97"/>
    <w:rsid w:val="51DF511F"/>
    <w:rsid w:val="535A031D"/>
    <w:rsid w:val="701C08FD"/>
    <w:rsid w:val="73013DC3"/>
    <w:rsid w:val="77470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2058</Words>
  <Characters>2251</Characters>
  <TotalTime>11</TotalTime>
  <ScaleCrop>false</ScaleCrop>
  <LinksUpToDate>false</LinksUpToDate>
  <CharactersWithSpaces>2442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2022-07-18T11:12:00Z</dcterms:created>
  <dc:creator>Kingsoft-PDF</dc:creator>
  <cp:keywords>62d4cf723ff911001574257a</cp:keywords>
  <cp:lastModifiedBy>王相会</cp:lastModifiedBy>
  <dcterms:modified xsi:type="dcterms:W3CDTF">2022-07-20T01:15:33Z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2022-07-18T11:12:01Z</vt:filetime>
  </property>
  <property fmtid="{D5CDD505-2E9C-101B-9397-08002B2CF9AE}" pid="4" name="KSOProductBuildVer">
    <vt:lpwstr>2052-11.1.0.11830</vt:lpwstr>
  </property>
  <property fmtid="{D5CDD505-2E9C-101B-9397-08002B2CF9AE}" pid="5" name="ICV">
    <vt:lpwstr>93DC00D26F7B4E16BDBC562307685973</vt:lpwstr>
  </property>
</Properties>
</file>